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  <w:bookmarkStart w:id="0" w:name="_Hlk237504791"/>
      <w:r>
        <w:rPr>
          <w:rFonts w:ascii="Times New Roman" w:hAnsi="Times New Roman" w:cs="Times New Roman"/>
          <w:b/>
          <w:sz w:val="29"/>
          <w:szCs w:val="29"/>
        </w:rPr>
        <w:t>Уплата имущественных налогов</w:t>
      </w:r>
      <w:bookmarkEnd w:id="0"/>
      <w:r>
        <w:rPr>
          <w:rFonts w:ascii="Times New Roman" w:hAnsi="Times New Roman" w:cs="Times New Roman"/>
          <w:b/>
          <w:sz w:val="29"/>
          <w:szCs w:val="29"/>
        </w:rPr>
        <w:t xml:space="preserve"> за 2025 год!</w:t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bCs/>
          <w:sz w:val="29"/>
          <w:szCs w:val="29"/>
        </w:rPr>
      </w:pPr>
      <w:r>
        <w:rPr>
          <w:rFonts w:ascii="Times New Roman" w:hAnsi="Times New Roman"/>
          <w:bCs/>
          <w:sz w:val="29"/>
          <w:szCs w:val="29"/>
        </w:rPr>
        <w:t xml:space="preserve">В 2026 году уплата физическими лицами единого имущественного платежа производится по месту регистрации (прописки) физического лица, независимо от того, где территориально располагаются принадлежащие ему объекты недвижимости и земельные участки. </w:t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9"/>
          <w:szCs w:val="29"/>
        </w:rPr>
      </w:pPr>
      <w:r>
        <w:rPr>
          <w:rFonts w:ascii="Times New Roman" w:hAnsi="Times New Roman"/>
          <w:bCs/>
          <w:i/>
          <w:iCs/>
          <w:sz w:val="29"/>
          <w:szCs w:val="29"/>
        </w:rPr>
        <w:t xml:space="preserve">Например: физическое лицо состоит на учете в инспекции МНС по Ленинскому району г.Могилева. Имеет объекты недвижимости и земельные участки в Могилевском районе и г.Гомеле. </w:t>
      </w:r>
      <w:r>
        <w:rPr>
          <w:rFonts w:ascii="Times New Roman" w:hAnsi="Times New Roman"/>
          <w:bCs/>
          <w:i/>
          <w:sz w:val="29"/>
          <w:szCs w:val="29"/>
        </w:rPr>
        <w:t>Уплата земельного налога и налога на недвижимость по всем объектам налогообложения будет производиться на счет республиканского бюджета Могилевской области.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Срок уплаты единого имущественного платежа – </w:t>
      </w:r>
      <w:r>
        <w:rPr>
          <w:rFonts w:ascii="Times New Roman" w:hAnsi="Times New Roman" w:cs="Times New Roman"/>
          <w:b/>
          <w:sz w:val="29"/>
          <w:szCs w:val="29"/>
        </w:rPr>
        <w:t>не позднее 16 ноября 2026 года</w:t>
      </w:r>
      <w:r>
        <w:rPr>
          <w:rFonts w:ascii="Times New Roman" w:hAnsi="Times New Roman" w:cs="Times New Roman"/>
          <w:sz w:val="29"/>
          <w:szCs w:val="29"/>
        </w:rPr>
        <w:t xml:space="preserve">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Инспекция МНС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Республики Беларусь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 xml:space="preserve"> по Быховскому району </w:t>
      </w:r>
    </w:p>
    <w:p>
      <w:pPr>
        <w:spacing w:after="0" w:line="240" w:lineRule="auto"/>
        <w:ind w:firstLine="723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E446A"/>
    <w:multiLevelType w:val="hybridMultilevel"/>
    <w:tmpl w:val="87FE9192"/>
    <w:lvl w:ilvl="0" w:tplc="367A58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0875D-2DA7-42A0-AD01-FDB44AFA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character" w:customStyle="1" w:styleId="a4">
    <w:name w:val="Основной текст_"/>
    <w:basedOn w:val="a0"/>
    <w:link w:val="2"/>
    <w:rPr>
      <w:rFonts w:eastAsia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pPr>
      <w:widowControl w:val="0"/>
      <w:shd w:val="clear" w:color="auto" w:fill="FFFFFF"/>
      <w:spacing w:before="120" w:after="0" w:line="278" w:lineRule="exact"/>
      <w:ind w:hanging="2040"/>
      <w:jc w:val="center"/>
    </w:pPr>
    <w:rPr>
      <w:rFonts w:eastAsia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Симченко Виктория Александровна</cp:lastModifiedBy>
  <cp:revision>2</cp:revision>
  <cp:lastPrinted>2026-09-03T09:44:00Z</cp:lastPrinted>
  <dcterms:created xsi:type="dcterms:W3CDTF">2026-09-03T11:54:00Z</dcterms:created>
  <dcterms:modified xsi:type="dcterms:W3CDTF">2026-09-03T11:54:00Z</dcterms:modified>
</cp:coreProperties>
</file>