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9"/>
          <w:szCs w:val="29"/>
        </w:rPr>
      </w:pPr>
      <w:r>
        <w:rPr>
          <w:rFonts w:ascii="Times New Roman" w:hAnsi="Times New Roman" w:cs="Times New Roman"/>
          <w:b/>
          <w:bCs/>
          <w:color w:val="000000"/>
          <w:sz w:val="29"/>
          <w:szCs w:val="29"/>
        </w:rPr>
        <w:t>Вниманию субъектов хозяйствования, осуществляющих оборот безалкогольных напитков и соков</w:t>
      </w:r>
    </w:p>
    <w:p>
      <w:pPr>
        <w:spacing w:after="0" w:line="240" w:lineRule="auto"/>
        <w:rPr>
          <w:rFonts w:ascii="Times New Roman" w:hAnsi="Times New Roman" w:cs="Times New Roman"/>
          <w:sz w:val="29"/>
          <w:szCs w:val="29"/>
        </w:rPr>
      </w:pPr>
    </w:p>
    <w:p>
      <w:pPr>
        <w:pStyle w:val="a3"/>
        <w:widowControl w:val="0"/>
        <w:ind w:left="0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С 1 января 2027 года вступают в силу изменения Налогового кодекса (далее – НК) в части:</w:t>
      </w:r>
    </w:p>
    <w:p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 xml:space="preserve">определения момента фактической реализации (передачи) таких подакцизных товаров, как алкогольная продукция, слабоалкогольные напитки с объемной долей этилового спирта более 1,2 процента и менее 7 процентов (слабоалкогольные натуральные напитки, иные слабоалкогольные напитки), сидры (за исключением фруктово-ягодных) и (или) пиво, пивной коктейль, напитки, изготавливаемых на основе пива (пивные напитки), – как приходящийся на налоговый период день отгрузки (передачи) (в том числе обособленному подразделению плательщика) подакцизных товаров; </w:t>
      </w:r>
    </w:p>
    <w:p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уплаты акцизов при реализации (передаче) алкогольной продукции, слабоалкогольных напитков с объемной долей этилового спирта более 1,2 процента и менее 7 процентов (слабоалкогольных натуральных напитков, иных слабоалкогольных напитков), сидров (за исключением фруктово-ягодных) и (или) пива, пивных коктейлей, напитков, изготавливаемых на основе пива (пивных напитков) в срок не позднее 22-го числа третьего месяца, следующего за истекшим налоговым периодом.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Согласно части второй пункта 4 статьи 160 НК при изменении порядка исчисления акцизов (изменении состава плательщиков, объектов налогообложения, налоговой базы, момента фактической реализации, ставок, порядка применения освобождения от акцизов), включении товаров в перечень подакцизных товаров новый порядок исчисления применяется по подакцизным товарам, отгруженным (переданным) с момента изменения порядка исчисления акцизов, включения товаров в перечень подакцизных товаров.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 xml:space="preserve">Таким образом, в первые месяцы 2027 года по вышеуказанным подакцизным товарам может иметь место определение соответствующих сумм акцизов и их уплата по двум срокам: 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 xml:space="preserve">не позднее 22-го числа месяца, следующего за истекшим налоговым периодом (например, по товарам, отгруженным в 2026 году и оплаченным в декабре 2026 г. или в 2027 году); 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не позднее 22-го числа третьего месяца, следующего за истекшим налоговым периодом (по товарам, отгруженным с 1 января 2027 года).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Исходя из изложенного, с целью безболезненного перехода на измененный порядок исчисления и уплаты акцизов по указанным подакцизным товарам и исключения возможных проблем обращаем внимание на необходимость проведения подготовительной работы и соответствующих организационных мероприятий в части: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внесения изменений в учетную политику;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внесения изменений в договоры об условиях поставки/реализации подакцизных товаров (при необходимости);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настройки учетных программ под новые алгоритмы исчисления и уплаты акцизов и пр.</w:t>
      </w:r>
    </w:p>
    <w:sectPr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B49F7"/>
    <w:multiLevelType w:val="hybridMultilevel"/>
    <w:tmpl w:val="B7EA1384"/>
    <w:lvl w:ilvl="0" w:tplc="4D3EDB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30CE5-D470-4898-A762-A0105B4F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Светлана Юрьевна</dc:creator>
  <cp:keywords/>
  <dc:description/>
  <cp:lastModifiedBy>Симченко Виктория Александровна</cp:lastModifiedBy>
  <cp:revision>2</cp:revision>
  <cp:lastPrinted>2026-06-15T12:40:00Z</cp:lastPrinted>
  <dcterms:created xsi:type="dcterms:W3CDTF">2026-07-13T08:34:00Z</dcterms:created>
  <dcterms:modified xsi:type="dcterms:W3CDTF">2026-07-13T08:34:00Z</dcterms:modified>
</cp:coreProperties>
</file>